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2C" w:rsidRPr="001D4969" w:rsidRDefault="00BD044A">
      <w:pPr>
        <w:ind w:left="5103"/>
        <w:rPr>
          <w:rFonts w:ascii="Arial" w:hAnsi="Arial" w:cs="Arial"/>
          <w:sz w:val="22"/>
          <w:szCs w:val="22"/>
          <w:lang w:val="fr-FR"/>
        </w:rPr>
      </w:pPr>
      <w:proofErr w:type="spellStart"/>
      <w:r w:rsidRPr="001D4969">
        <w:rPr>
          <w:rFonts w:ascii="Arial" w:hAnsi="Arial" w:cs="Arial"/>
          <w:b/>
          <w:sz w:val="22"/>
          <w:szCs w:val="22"/>
          <w:lang w:val="fr-FR"/>
        </w:rPr>
        <w:t>De</w:t>
      </w:r>
      <w:r w:rsidR="00992A2C" w:rsidRPr="001D4969">
        <w:rPr>
          <w:rFonts w:ascii="Arial" w:hAnsi="Arial" w:cs="Arial"/>
          <w:b/>
          <w:sz w:val="22"/>
          <w:szCs w:val="22"/>
          <w:lang w:val="fr-FR"/>
        </w:rPr>
        <w:t>partement</w:t>
      </w:r>
      <w:proofErr w:type="spellEnd"/>
      <w:r w:rsidR="00992A2C" w:rsidRPr="001D4969">
        <w:rPr>
          <w:rFonts w:ascii="Arial" w:hAnsi="Arial" w:cs="Arial"/>
          <w:b/>
          <w:sz w:val="22"/>
          <w:szCs w:val="22"/>
          <w:lang w:val="fr-FR"/>
        </w:rPr>
        <w:t xml:space="preserve"> :</w:t>
      </w:r>
    </w:p>
    <w:p w:rsidR="00992A2C" w:rsidRPr="001D4969" w:rsidRDefault="00BD044A" w:rsidP="00B8473B">
      <w:pPr>
        <w:spacing w:after="240"/>
        <w:ind w:left="5103"/>
        <w:rPr>
          <w:rFonts w:ascii="Arial" w:hAnsi="Arial" w:cs="Arial"/>
          <w:b/>
          <w:sz w:val="22"/>
          <w:szCs w:val="22"/>
          <w:lang w:val="nl-BE"/>
        </w:rPr>
      </w:pPr>
      <w:proofErr w:type="spellStart"/>
      <w:proofErr w:type="gramStart"/>
      <w:r w:rsidRPr="001D4969">
        <w:rPr>
          <w:rFonts w:ascii="Arial" w:hAnsi="Arial" w:cs="Arial"/>
          <w:b/>
          <w:sz w:val="22"/>
          <w:szCs w:val="22"/>
          <w:lang w:val="nl-BE"/>
        </w:rPr>
        <w:t>Dé</w:t>
      </w:r>
      <w:r w:rsidR="00B8473B" w:rsidRPr="001D4969">
        <w:rPr>
          <w:rFonts w:ascii="Arial" w:hAnsi="Arial" w:cs="Arial"/>
          <w:b/>
          <w:sz w:val="22"/>
          <w:szCs w:val="22"/>
          <w:lang w:val="nl-BE"/>
        </w:rPr>
        <w:t>partement</w:t>
      </w:r>
      <w:proofErr w:type="spellEnd"/>
      <w:r w:rsidR="00B8473B" w:rsidRPr="001D4969">
        <w:rPr>
          <w:rFonts w:ascii="Arial" w:hAnsi="Arial" w:cs="Arial"/>
          <w:b/>
          <w:sz w:val="22"/>
          <w:szCs w:val="22"/>
          <w:lang w:val="nl-BE"/>
        </w:rPr>
        <w:t xml:space="preserve"> :</w:t>
      </w:r>
      <w:proofErr w:type="gramEnd"/>
      <w:r w:rsidR="00B8473B" w:rsidRPr="001D4969">
        <w:rPr>
          <w:rFonts w:ascii="Arial" w:hAnsi="Arial" w:cs="Arial"/>
          <w:b/>
          <w:sz w:val="22"/>
          <w:szCs w:val="22"/>
          <w:lang w:val="nl-BE"/>
        </w:rPr>
        <w:tab/>
      </w:r>
      <w:r w:rsidR="0067638C" w:rsidRPr="001D4969">
        <w:rPr>
          <w:rFonts w:ascii="Arial" w:hAnsi="Arial" w:cs="Arial"/>
          <w:b/>
          <w:sz w:val="22"/>
          <w:szCs w:val="22"/>
          <w:lang w:val="nl-BE"/>
        </w:rPr>
        <w:t>12</w:t>
      </w:r>
    </w:p>
    <w:p w:rsidR="00992A2C" w:rsidRPr="001D4969" w:rsidRDefault="00992A2C" w:rsidP="00B8473B">
      <w:pPr>
        <w:spacing w:after="480"/>
        <w:ind w:left="5103"/>
        <w:rPr>
          <w:rFonts w:ascii="Arial" w:hAnsi="Arial" w:cs="Arial"/>
          <w:b/>
          <w:sz w:val="22"/>
          <w:szCs w:val="22"/>
          <w:lang w:val="nl-BE"/>
        </w:rPr>
      </w:pPr>
      <w:proofErr w:type="gramStart"/>
      <w:r w:rsidRPr="001D4969">
        <w:rPr>
          <w:rFonts w:ascii="Arial" w:hAnsi="Arial" w:cs="Arial"/>
          <w:b/>
          <w:sz w:val="22"/>
          <w:szCs w:val="22"/>
          <w:lang w:val="nl-BE"/>
        </w:rPr>
        <w:t>Document :</w:t>
      </w:r>
      <w:proofErr w:type="gramEnd"/>
      <w:r w:rsidRPr="001D4969">
        <w:rPr>
          <w:rFonts w:ascii="Arial" w:hAnsi="Arial" w:cs="Arial"/>
          <w:b/>
          <w:sz w:val="22"/>
          <w:szCs w:val="22"/>
          <w:lang w:val="nl-BE"/>
        </w:rPr>
        <w:tab/>
      </w:r>
      <w:r w:rsidR="000C173E" w:rsidRPr="001D4969">
        <w:rPr>
          <w:rFonts w:ascii="Arial" w:hAnsi="Arial" w:cs="Arial"/>
          <w:b/>
          <w:sz w:val="22"/>
          <w:szCs w:val="22"/>
          <w:lang w:val="nl-BE"/>
        </w:rPr>
        <w:t>5</w:t>
      </w:r>
      <w:r w:rsidR="00876602" w:rsidRPr="001D4969">
        <w:rPr>
          <w:rFonts w:ascii="Arial" w:hAnsi="Arial" w:cs="Arial"/>
          <w:b/>
          <w:sz w:val="22"/>
          <w:szCs w:val="22"/>
          <w:lang w:val="nl-BE"/>
        </w:rPr>
        <w:t>4</w:t>
      </w:r>
      <w:r w:rsidR="0067638C" w:rsidRPr="001D4969">
        <w:rPr>
          <w:rFonts w:ascii="Arial" w:hAnsi="Arial" w:cs="Arial"/>
          <w:b/>
          <w:sz w:val="22"/>
          <w:szCs w:val="22"/>
          <w:lang w:val="nl-BE"/>
        </w:rPr>
        <w:t xml:space="preserve"> 2015201608848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41EE4" w:rsidRPr="006B40DE" w:rsidTr="00CB3CC5">
        <w:tc>
          <w:tcPr>
            <w:tcW w:w="4785" w:type="dxa"/>
          </w:tcPr>
          <w:p w:rsidR="00041EE4" w:rsidRPr="001D4969" w:rsidRDefault="00041EE4" w:rsidP="00B8473B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b/>
                <w:sz w:val="22"/>
                <w:szCs w:val="22"/>
                <w:lang w:val="nl-BE"/>
              </w:rPr>
              <w:t>Antwoord op de schriftelijke parlementaire vraag nr. 648 van de Heer Volksvertegenwoordiger Tim VANDENPUT van 18 april 2016 betreffende de sponsoring van sportevenementen.</w:t>
            </w:r>
          </w:p>
        </w:tc>
        <w:tc>
          <w:tcPr>
            <w:tcW w:w="4785" w:type="dxa"/>
          </w:tcPr>
          <w:p w:rsidR="00041EE4" w:rsidRPr="001D4969" w:rsidRDefault="00041EE4" w:rsidP="00041EE4">
            <w:pPr>
              <w:ind w:left="35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D496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Réponse à la question parlementaire écrite n° 648 de Monsieur le Député </w:t>
            </w:r>
            <w:r w:rsidRPr="001D4969">
              <w:rPr>
                <w:rFonts w:ascii="Arial" w:hAnsi="Arial" w:cs="Arial"/>
                <w:b/>
                <w:sz w:val="22"/>
                <w:szCs w:val="22"/>
                <w:lang w:val="fr-BE"/>
              </w:rPr>
              <w:t>Tim VANDENPUT du 18 avril 2016</w:t>
            </w:r>
            <w:r w:rsidRPr="001D496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1D4969">
              <w:rPr>
                <w:rFonts w:ascii="Arial" w:hAnsi="Arial" w:cs="Arial"/>
                <w:b/>
                <w:sz w:val="22"/>
                <w:szCs w:val="22"/>
                <w:lang w:val="fr-BE"/>
              </w:rPr>
              <w:t>concernant le parrainage d'événements sportifs.</w:t>
            </w: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041EE4" w:rsidP="00B847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785" w:type="dxa"/>
          </w:tcPr>
          <w:p w:rsidR="00041EE4" w:rsidRPr="001D4969" w:rsidRDefault="00041EE4" w:rsidP="00B847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041EE4" w:rsidP="00CB78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Het geachte Lid gelieve hierna het antwoord te willen vinden op de door hem gestelde vragen.</w:t>
            </w:r>
          </w:p>
        </w:tc>
        <w:tc>
          <w:tcPr>
            <w:tcW w:w="4785" w:type="dxa"/>
          </w:tcPr>
          <w:p w:rsidR="00041EE4" w:rsidRPr="001D4969" w:rsidRDefault="00041EE4" w:rsidP="00CB78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FR"/>
              </w:rPr>
              <w:t xml:space="preserve">L'honorable Membre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est prié de trouver</w:t>
            </w:r>
            <w:r w:rsidRPr="001D4969">
              <w:rPr>
                <w:rFonts w:ascii="Arial" w:hAnsi="Arial" w:cs="Arial"/>
                <w:sz w:val="22"/>
                <w:szCs w:val="22"/>
                <w:lang w:val="fr-FR"/>
              </w:rPr>
              <w:t xml:space="preserve"> ci-après la réponse à ses questions.</w:t>
            </w: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041EE4" w:rsidP="00B847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4785" w:type="dxa"/>
          </w:tcPr>
          <w:p w:rsidR="00041EE4" w:rsidRPr="001D4969" w:rsidRDefault="00041EE4" w:rsidP="00B847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EA34DF" w:rsidRPr="001D4969" w:rsidRDefault="007B7E5C" w:rsidP="009A3D7C">
            <w:pPr>
              <w:numPr>
                <w:ilvl w:val="0"/>
                <w:numId w:val="3"/>
              </w:numPr>
              <w:ind w:right="-109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Via het concept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>“Topsporters Defensie”, waarbij momenteel 30 plaatsen binnen de organisatie voorzien zijn voor jonge topsporters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, is sport een onderdeel van de communicatie van Defensie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. Deze jonge militairen bekleden een voorbeeldfunctie en dragen bij tot de werving van het personeel en de promotie van de sportbeoefening binnen het departement.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Daarnaast is het de bedoeling om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PR-return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te realiseren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>wanneer Defensie ingaat op een vraag voor steun van een sportevenement.</w:t>
            </w:r>
          </w:p>
          <w:p w:rsidR="00041EE4" w:rsidRPr="001D4969" w:rsidRDefault="00041EE4" w:rsidP="00EA34D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041EE4" w:rsidRPr="001D4969" w:rsidRDefault="007B7E5C" w:rsidP="00EA34D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B7E5C">
              <w:rPr>
                <w:rFonts w:ascii="Arial" w:hAnsi="Arial" w:cs="Arial"/>
                <w:sz w:val="22"/>
                <w:szCs w:val="22"/>
                <w:lang w:val="fr-BE"/>
              </w:rPr>
              <w:t xml:space="preserve">Par le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concept “Sportifs de haut niveau à la Défense”, </w:t>
            </w:r>
            <w:r w:rsidR="00407BD5">
              <w:rPr>
                <w:rFonts w:ascii="Arial" w:hAnsi="Arial" w:cs="Arial"/>
                <w:sz w:val="22"/>
                <w:szCs w:val="22"/>
                <w:lang w:val="fr-BE"/>
              </w:rPr>
              <w:t>pour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lequel 30 places sont actuellement prévues au sein de l’organisation pour de jeunes sportifs de haut niveau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, le sport </w:t>
            </w:r>
            <w:r w:rsidR="004A424B">
              <w:rPr>
                <w:rFonts w:ascii="Arial" w:hAnsi="Arial" w:cs="Arial"/>
                <w:sz w:val="22"/>
                <w:szCs w:val="22"/>
                <w:lang w:val="fr-BE"/>
              </w:rPr>
              <w:t>est un élément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de la communication de la Défense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. Ces jeunes militaires sont investis d’un </w:t>
            </w:r>
            <w:r w:rsidR="009F30B3">
              <w:rPr>
                <w:rFonts w:ascii="Arial" w:hAnsi="Arial" w:cs="Arial"/>
                <w:sz w:val="22"/>
                <w:szCs w:val="22"/>
                <w:lang w:val="fr-BE"/>
              </w:rPr>
              <w:t xml:space="preserve">rôle exemplaire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et contribuent au recrutement de personnel et à la promotion de la pratique </w:t>
            </w:r>
            <w:r w:rsidR="009F30B3">
              <w:rPr>
                <w:rFonts w:ascii="Arial" w:hAnsi="Arial" w:cs="Arial"/>
                <w:sz w:val="22"/>
                <w:szCs w:val="22"/>
                <w:lang w:val="fr-BE"/>
              </w:rPr>
              <w:t>du sport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au sein du département. </w:t>
            </w:r>
            <w:r w:rsidR="0054411C">
              <w:rPr>
                <w:rFonts w:ascii="Arial" w:hAnsi="Arial" w:cs="Arial"/>
                <w:sz w:val="22"/>
                <w:szCs w:val="22"/>
                <w:lang w:val="fr-BE"/>
              </w:rPr>
              <w:t>Par ailleurs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, l</w:t>
            </w:r>
            <w:r w:rsidR="0054411C">
              <w:rPr>
                <w:rFonts w:ascii="Arial" w:hAnsi="Arial" w:cs="Arial"/>
                <w:sz w:val="22"/>
                <w:szCs w:val="22"/>
                <w:lang w:val="fr-BE"/>
              </w:rPr>
              <w:t>’objectif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est d’obtenir un 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fr-BE"/>
              </w:rPr>
              <w:t>retour PR lorsque la Défense donne suite à une demande d’appui d’un événement sportif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ED65C2" w:rsidRPr="001D4969" w:rsidRDefault="00ED65C2" w:rsidP="00ED65C2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85441F" w:rsidP="0085441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Defensie steunt sinds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2007 geen specifieke sporten meer onder de noemer van </w:t>
            </w:r>
            <w:proofErr w:type="spellStart"/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>sponsoringcontracten</w:t>
            </w:r>
            <w:proofErr w:type="spellEnd"/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Eventuele steun van Defensie kadert in een </w:t>
            </w:r>
            <w:r w:rsidR="006B75C7">
              <w:rPr>
                <w:rFonts w:ascii="Arial" w:hAnsi="Arial" w:cs="Arial"/>
                <w:sz w:val="22"/>
                <w:szCs w:val="22"/>
                <w:lang w:val="nl-BE"/>
              </w:rPr>
              <w:t>aanvraag “prestaties ten voordele van</w:t>
            </w:r>
            <w:r w:rsidR="00EA34DF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derden”, tegen gedeeltelijke of volledige betaling van de ingezette middelen.</w:t>
            </w:r>
          </w:p>
        </w:tc>
        <w:tc>
          <w:tcPr>
            <w:tcW w:w="4785" w:type="dxa"/>
          </w:tcPr>
          <w:p w:rsidR="00EA34DF" w:rsidRPr="00C550B1" w:rsidRDefault="00EA34DF" w:rsidP="00C550B1">
            <w:pPr>
              <w:numPr>
                <w:ilvl w:val="0"/>
                <w:numId w:val="25"/>
              </w:numPr>
              <w:ind w:right="-2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Depuis 2007, la Défense n’appuie plus de sports spécifiques sous le dénominateur de contrats de sponsoring. </w:t>
            </w:r>
            <w:r w:rsidR="0085441F">
              <w:rPr>
                <w:rFonts w:ascii="Arial" w:hAnsi="Arial" w:cs="Arial"/>
                <w:sz w:val="22"/>
                <w:szCs w:val="22"/>
                <w:lang w:val="fr-BE"/>
              </w:rPr>
              <w:t xml:space="preserve">Un appui éventuel de la Défense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s’inscrit </w:t>
            </w:r>
            <w:r w:rsidR="0085441F" w:rsidRPr="00C550B1">
              <w:rPr>
                <w:rFonts w:ascii="Arial" w:hAnsi="Arial" w:cs="Arial"/>
                <w:sz w:val="22"/>
                <w:szCs w:val="22"/>
                <w:lang w:val="fr-BE"/>
              </w:rPr>
              <w:t>dans u</w:t>
            </w:r>
            <w:r w:rsidR="006B75C7">
              <w:rPr>
                <w:rFonts w:ascii="Arial" w:hAnsi="Arial" w:cs="Arial"/>
                <w:sz w:val="22"/>
                <w:szCs w:val="22"/>
                <w:lang w:val="fr-BE"/>
              </w:rPr>
              <w:t>ne demande “prestations au profit de</w:t>
            </w:r>
            <w:r w:rsidRP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 tiers”, contre paiement partiel ou complet des moyens engagés.</w:t>
            </w:r>
          </w:p>
          <w:p w:rsidR="00041EE4" w:rsidRPr="001D4969" w:rsidRDefault="00041EE4" w:rsidP="009A3D7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85441F" w:rsidP="009A3D7C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Op basi</w:t>
            </w:r>
            <w:r w:rsidR="006B75C7">
              <w:rPr>
                <w:rFonts w:ascii="Arial" w:hAnsi="Arial" w:cs="Arial"/>
                <w:sz w:val="22"/>
                <w:szCs w:val="22"/>
                <w:lang w:val="nl-BE"/>
              </w:rPr>
              <w:t>s van de wetgeving “prestaties t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en voordele van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derden” werden verschillende sportevenementen gesteund.</w:t>
            </w:r>
          </w:p>
          <w:p w:rsidR="009A3D7C" w:rsidRPr="001D4969" w:rsidRDefault="009A3D7C" w:rsidP="009A3D7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041EE4" w:rsidRPr="001D4969" w:rsidRDefault="0085441F" w:rsidP="00C550B1">
            <w:pPr>
              <w:numPr>
                <w:ilvl w:val="0"/>
                <w:numId w:val="26"/>
              </w:numPr>
              <w:ind w:right="-2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5441F">
              <w:rPr>
                <w:rFonts w:ascii="Arial" w:hAnsi="Arial" w:cs="Arial"/>
                <w:sz w:val="22"/>
                <w:szCs w:val="22"/>
                <w:lang w:val="fr-BE"/>
              </w:rPr>
              <w:t xml:space="preserve">Sur base de la législation 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“prestations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au profit de tiers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” divers événements sportifs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ont été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appuyés.</w:t>
            </w: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9A3D7C" w:rsidP="002612C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In onderstaande tabel vindt u een overzicht van de aanvragen </w:t>
            </w:r>
            <w:r w:rsidR="002F0B23">
              <w:rPr>
                <w:rFonts w:ascii="Arial" w:hAnsi="Arial" w:cs="Arial"/>
                <w:sz w:val="22"/>
                <w:szCs w:val="22"/>
                <w:lang w:val="nl-BE"/>
              </w:rPr>
              <w:t xml:space="preserve">van organisatoren 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van sportevenementen die de laatste vijf jaar een gunstig gevolg kregen. De indeling </w:t>
            </w:r>
            <w:r w:rsidR="0085441F">
              <w:rPr>
                <w:rFonts w:ascii="Arial" w:hAnsi="Arial" w:cs="Arial"/>
                <w:sz w:val="22"/>
                <w:szCs w:val="22"/>
                <w:lang w:val="nl-BE"/>
              </w:rPr>
              <w:t xml:space="preserve">per 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provincie gebeurt volgens de plaats van de geleverde prestatie, niet volgens de herkomst van de aanvrager.</w:t>
            </w: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AC0F6F" w:rsidRDefault="00AC0F6F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C550B1" w:rsidRPr="001D4969" w:rsidRDefault="00C550B1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A3D7C" w:rsidRPr="001D4969" w:rsidRDefault="009A3D7C" w:rsidP="009A3D7C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041EE4" w:rsidRPr="001D4969" w:rsidRDefault="009A3D7C" w:rsidP="00C550B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Dans le tableau ci-dessous vous trouve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re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z un aperçu des demandes </w:t>
            </w:r>
            <w:r w:rsidR="002F0B23">
              <w:rPr>
                <w:rFonts w:ascii="Arial" w:hAnsi="Arial" w:cs="Arial"/>
                <w:sz w:val="22"/>
                <w:szCs w:val="22"/>
                <w:lang w:val="fr-BE"/>
              </w:rPr>
              <w:t>d’organisateurs d’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événements sportifs qui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ont reçues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une suite favorable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ces cinq dernières années. La classification par province est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établie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selon la localisation de la prestation fournie,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et non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selon l’origine du demandeur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</w:tr>
      <w:tr w:rsidR="00041EE4" w:rsidRPr="001D4969" w:rsidTr="00AD50E5">
        <w:tc>
          <w:tcPr>
            <w:tcW w:w="9570" w:type="dxa"/>
            <w:gridSpan w:val="2"/>
          </w:tcPr>
          <w:tbl>
            <w:tblPr>
              <w:tblW w:w="8780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960"/>
              <w:gridCol w:w="960"/>
              <w:gridCol w:w="960"/>
              <w:gridCol w:w="960"/>
              <w:gridCol w:w="960"/>
            </w:tblGrid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BE" w:eastAsia="en-US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196C02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Gesteunde</w:t>
                  </w:r>
                  <w:proofErr w:type="spellEnd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aanvragen</w:t>
                  </w:r>
                  <w:proofErr w:type="spellEnd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demandes</w:t>
                  </w:r>
                  <w:proofErr w:type="spellEnd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196C02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soutenues</w:t>
                  </w:r>
                  <w:proofErr w:type="spellEnd"/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Provincie</w:t>
                  </w:r>
                  <w:proofErr w:type="spellEnd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/ Province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Antwerpen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Anvers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9A3D7C" w:rsidRPr="001D4969" w:rsidTr="00777369">
              <w:trPr>
                <w:trHeight w:val="6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ind w:left="34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Brussels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Hoofdstedelijk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Gewest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Région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Bruxelles-Capitale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Limburg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Limbourg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Luik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Liège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Luxemburg / Luxembourg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Namen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Namur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Oost-Vlaanderen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Flandre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orientale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Vlaams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-Brabant / Brabant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flamand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Waals-Brabant / Brabant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wallon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West-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Vlaanderen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Flandre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occidentale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België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Belgique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9A3D7C" w:rsidRPr="001D4969" w:rsidTr="00777369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3D7C" w:rsidRPr="001D4969" w:rsidRDefault="009A3D7C" w:rsidP="009A3D7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Buiten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België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Hors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Belgique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3D7C" w:rsidRPr="001D4969" w:rsidRDefault="009A3D7C" w:rsidP="009A3D7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041EE4" w:rsidRPr="001D4969" w:rsidRDefault="00041EE4" w:rsidP="00012B9B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777369" w:rsidRPr="001D4969" w:rsidRDefault="00777369" w:rsidP="0077736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85441F" w:rsidP="002215BA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nl-BE"/>
              </w:rPr>
              <w:t>Overeenkomstig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de wetgeving “prestatie ten voordele van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derden”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van toepassing voor Defensie, wordt de steun aan een sportevenement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enkel overwogen indien er een meerwaarde is voor Defensie.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 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criteria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zijn deze die voorzien zijn in artikel 151 van de programmawet van 2 augustus 2002. I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>ndien daarnaast het evenement voldoende zichtbaarheid geniet en het doelpubliek van Defensie ook aanwezig is, zal van de gelegenheid gebruik gemaakt worden om, naast de</w:t>
            </w:r>
            <w:r w:rsidR="002215BA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9A3D7C" w:rsidRPr="001D4969">
              <w:rPr>
                <w:rFonts w:ascii="Arial" w:hAnsi="Arial" w:cs="Arial"/>
                <w:sz w:val="22"/>
                <w:szCs w:val="22"/>
                <w:lang w:val="nl-BE"/>
              </w:rPr>
              <w:t>PR-return, het Promoteam van Defensie in te zetten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:rsidR="00ED65C2" w:rsidRPr="001D4969" w:rsidRDefault="00ED65C2" w:rsidP="00ED65C2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777369" w:rsidRPr="001D4969" w:rsidRDefault="00777369" w:rsidP="0077736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85441F" w:rsidP="00C550B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5441F">
              <w:rPr>
                <w:rFonts w:ascii="Arial" w:hAnsi="Arial" w:cs="Arial"/>
                <w:sz w:val="22"/>
                <w:szCs w:val="22"/>
                <w:lang w:val="fr-BE"/>
              </w:rPr>
              <w:t xml:space="preserve">Conformément à la législation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“prestation au profit de </w:t>
            </w:r>
            <w:r w:rsidR="00C550B1" w:rsidRPr="001D4969">
              <w:rPr>
                <w:rFonts w:ascii="Arial" w:hAnsi="Arial" w:cs="Arial"/>
                <w:sz w:val="22"/>
                <w:szCs w:val="22"/>
                <w:lang w:val="fr-BE"/>
              </w:rPr>
              <w:t>tiers”,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application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à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la Défense, l’appui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pour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un événement sportif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n’est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envisagé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que s’il y a une plus-value pour la Défense. Les critères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sont repris dans l’article 151 de la loi de programmation du 2 août 2002. 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Si, </w:t>
            </w:r>
            <w:r w:rsidR="00E11A47">
              <w:rPr>
                <w:rFonts w:ascii="Arial" w:hAnsi="Arial" w:cs="Arial"/>
                <w:sz w:val="22"/>
                <w:szCs w:val="22"/>
                <w:lang w:val="fr-BE"/>
              </w:rPr>
              <w:t>en plus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l’événement, il </w:t>
            </w:r>
            <w:r w:rsidR="00C550B1">
              <w:rPr>
                <w:rFonts w:ascii="Arial" w:hAnsi="Arial" w:cs="Arial"/>
                <w:sz w:val="22"/>
                <w:szCs w:val="22"/>
                <w:lang w:val="fr-BE"/>
              </w:rPr>
              <w:t>existe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une visibilité suffisante et que le public-cible de la Défense est également présent, on profitera de l’occasion pour, </w:t>
            </w:r>
            <w:r w:rsidR="00E11A47">
              <w:rPr>
                <w:rFonts w:ascii="Arial" w:hAnsi="Arial" w:cs="Arial"/>
                <w:sz w:val="22"/>
                <w:szCs w:val="22"/>
                <w:lang w:val="fr-BE"/>
              </w:rPr>
              <w:t>en plus</w:t>
            </w:r>
            <w:r w:rsidR="00777369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du retour PR, engager l’équipe de promotion de la Défense</w:t>
            </w:r>
            <w:r w:rsidR="0031328D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</w:tr>
      <w:tr w:rsidR="00041EE4" w:rsidRPr="006B40DE" w:rsidTr="00CB3CC5">
        <w:tc>
          <w:tcPr>
            <w:tcW w:w="4785" w:type="dxa"/>
          </w:tcPr>
          <w:p w:rsidR="00041EE4" w:rsidRPr="001D4969" w:rsidRDefault="0073454A" w:rsidP="0067604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De steun kan zowel infrastructuur (militair domein) als logistieke steun omvatten, en daar waar nodig met begeleidend personeel. De 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waarde van </w:t>
            </w:r>
            <w:r w:rsidR="0067604E" w:rsidRP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de geleverde prestatie 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geleverd over 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de laatste vijf jaar, per provincie van de geleverde prestatie, is hernomen in onderstaande tabel.</w:t>
            </w:r>
          </w:p>
        </w:tc>
        <w:tc>
          <w:tcPr>
            <w:tcW w:w="4785" w:type="dxa"/>
          </w:tcPr>
          <w:p w:rsidR="00041EE4" w:rsidRPr="001D4969" w:rsidRDefault="0073454A" w:rsidP="002612C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L’appui peut aussi bien 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>comporter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 xml:space="preserve">l’utilisation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des infrastr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>uctures (domaine militaire),</w:t>
            </w:r>
            <w:r w:rsidR="00C5611E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>la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logistique, </w:t>
            </w:r>
            <w:r w:rsidR="00C3040D">
              <w:rPr>
                <w:rFonts w:ascii="Arial" w:hAnsi="Arial" w:cs="Arial"/>
                <w:sz w:val="22"/>
                <w:szCs w:val="22"/>
                <w:lang w:val="fr-BE"/>
              </w:rPr>
              <w:t>et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là où cela s’avère nécessaire</w:t>
            </w:r>
            <w:r w:rsidR="00C3040D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 xml:space="preserve">le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>personnel</w:t>
            </w:r>
            <w:r w:rsidR="00C5611E">
              <w:rPr>
                <w:rFonts w:ascii="Arial" w:hAnsi="Arial" w:cs="Arial"/>
                <w:sz w:val="22"/>
                <w:szCs w:val="22"/>
                <w:lang w:val="fr-BE"/>
              </w:rPr>
              <w:t xml:space="preserve"> d’accompagnement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. La valeur des prestations fournies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po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>ur les cinq dernières années a été reprise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dans le tableau ci-dessous, par province où la prestation a été </w:t>
            </w:r>
            <w:r w:rsidR="007F3AE1">
              <w:rPr>
                <w:rFonts w:ascii="Arial" w:hAnsi="Arial" w:cs="Arial"/>
                <w:sz w:val="22"/>
                <w:szCs w:val="22"/>
                <w:lang w:val="fr-BE"/>
              </w:rPr>
              <w:t>effectuée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AC0F6F" w:rsidRDefault="00AC0F6F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7604E" w:rsidRPr="001D4969" w:rsidRDefault="0067604E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73454A" w:rsidRPr="001D4969" w:rsidRDefault="0073454A" w:rsidP="0073454A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6F2348">
        <w:tc>
          <w:tcPr>
            <w:tcW w:w="9570" w:type="dxa"/>
            <w:gridSpan w:val="2"/>
          </w:tcPr>
          <w:tbl>
            <w:tblPr>
              <w:tblW w:w="8780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928"/>
              <w:gridCol w:w="928"/>
              <w:gridCol w:w="928"/>
              <w:gridCol w:w="1088"/>
              <w:gridCol w:w="928"/>
            </w:tblGrid>
            <w:tr w:rsidR="0073454A" w:rsidRPr="005325EC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  <w:lang w:val="fr-BE" w:eastAsia="en-US"/>
                    </w:rPr>
                  </w:pPr>
                </w:p>
              </w:tc>
              <w:tc>
                <w:tcPr>
                  <w:tcW w:w="4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5325EC" w:rsidRDefault="0067604E" w:rsidP="007168CB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</w:pPr>
                  <w:r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>Waarde /</w:t>
                  </w:r>
                  <w:proofErr w:type="spellStart"/>
                  <w:r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>Valeur</w:t>
                  </w:r>
                  <w:proofErr w:type="spellEnd"/>
                  <w:r w:rsidR="0073454A"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 xml:space="preserve"> (</w:t>
                  </w:r>
                  <w:r w:rsidR="005325EC"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 xml:space="preserve">euro / </w:t>
                  </w:r>
                  <w:proofErr w:type="spellStart"/>
                  <w:proofErr w:type="gramStart"/>
                  <w:r w:rsidR="005325EC"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>euros</w:t>
                  </w:r>
                  <w:proofErr w:type="spellEnd"/>
                  <w:proofErr w:type="gramEnd"/>
                  <w:r w:rsidR="0073454A" w:rsidRPr="005325EC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nl-BE" w:eastAsia="en-US"/>
                    </w:rPr>
                    <w:t>)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6B75C7" w:rsidRDefault="0073454A" w:rsidP="0073454A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lang w:eastAsia="en-US"/>
                    </w:rPr>
                    <w:t>Provincie</w:t>
                  </w:r>
                  <w:proofErr w:type="spellEnd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  <w:lang w:eastAsia="en-US"/>
                    </w:rPr>
                    <w:t xml:space="preserve"> / Province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Antwerpen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Anvers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4.613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5.751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653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109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A" w:rsidRPr="001D4969" w:rsidTr="0073454A">
              <w:trPr>
                <w:trHeight w:val="6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Brussels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Hoofdstedelijk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Gewest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Région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de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Bruxelles-Capitale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  <w:r w:rsidR="00B75A7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060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150.722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41.018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Limburg /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Limbourg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73.324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679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4.526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95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Luik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Liège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987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72.689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2.447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Luxemburg / Luxembourg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2.865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6.532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2.063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Namen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Namur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687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1.984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Oost-Vlaanderen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Flandre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orientale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18.303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11.359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93.575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50.907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32.366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Vlaams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-Brabant / Brabant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flamand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2.082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3.491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364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25.240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Waals-Brabant / Brabant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wallon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1.495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2.048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533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1.891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West-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Vlaanderen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Flandre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occidentale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21.917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89.696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26.199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23.406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7.265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België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Belgique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1.361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54A" w:rsidRPr="006B75C7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Buiten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België</w:t>
                  </w:r>
                  <w:proofErr w:type="spellEnd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/ Hors </w:t>
                  </w:r>
                  <w:proofErr w:type="spellStart"/>
                  <w:r w:rsidRPr="006B75C7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>Belgique</w:t>
                  </w:r>
                  <w:proofErr w:type="spellEnd"/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6B75C7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54A" w:rsidRPr="001D4969" w:rsidRDefault="0073454A" w:rsidP="006B75C7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5.866</w:t>
                  </w:r>
                </w:p>
              </w:tc>
            </w:tr>
            <w:tr w:rsidR="0073454A" w:rsidRPr="001D4969" w:rsidTr="0073454A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A" w:rsidRPr="006B40DE" w:rsidTr="0073454A">
              <w:trPr>
                <w:trHeight w:val="300"/>
              </w:trPr>
              <w:tc>
                <w:tcPr>
                  <w:tcW w:w="58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6B75C7" w:rsidP="00AC0F6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"x</w:t>
                  </w:r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" </w:t>
                  </w:r>
                  <w:proofErr w:type="gramStart"/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=   </w:t>
                  </w:r>
                  <w:proofErr w:type="gramEnd"/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totale kost</w:t>
                  </w:r>
                  <w:r w:rsidR="0073454A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 </w:t>
                  </w:r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niet gekend / </w:t>
                  </w:r>
                  <w:proofErr w:type="spellStart"/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frais</w:t>
                  </w:r>
                  <w:proofErr w:type="spellEnd"/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 </w:t>
                  </w:r>
                  <w:proofErr w:type="spellStart"/>
                  <w:r w:rsidR="00F41C1C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totaux</w:t>
                  </w:r>
                  <w:proofErr w:type="spellEnd"/>
                  <w:r w:rsidR="0073454A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 xml:space="preserve"> </w:t>
                  </w:r>
                  <w:proofErr w:type="spellStart"/>
                  <w:r w:rsidR="0073454A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inconnus</w:t>
                  </w:r>
                  <w:proofErr w:type="spellEnd"/>
                  <w:r w:rsidR="002D4B11"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  <w:t>.</w:t>
                  </w:r>
                </w:p>
                <w:p w:rsidR="00AC0F6F" w:rsidRPr="001D4969" w:rsidRDefault="00AC0F6F" w:rsidP="00DB2D1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4A" w:rsidRPr="001D4969" w:rsidRDefault="0073454A" w:rsidP="0073454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nl-BE" w:eastAsia="en-US"/>
                    </w:rPr>
                  </w:pPr>
                </w:p>
              </w:tc>
            </w:tr>
          </w:tbl>
          <w:p w:rsidR="00041EE4" w:rsidRPr="001D4969" w:rsidRDefault="00041EE4" w:rsidP="00012B9B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AC0F6F" w:rsidRPr="001D4969" w:rsidRDefault="00AC0F6F" w:rsidP="00AC0F6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Een overzicht van de aanvrag</w:t>
            </w:r>
            <w:r w:rsidR="0031328D">
              <w:rPr>
                <w:rFonts w:ascii="Arial" w:hAnsi="Arial" w:cs="Arial"/>
                <w:sz w:val="22"/>
                <w:szCs w:val="22"/>
                <w:lang w:val="nl-BE"/>
              </w:rPr>
              <w:t>en ter ondersteuning van sport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evenementen voor de laatste vijf jaar is in de onderstaande tabel opgenomen.</w:t>
            </w:r>
          </w:p>
          <w:p w:rsidR="00041EE4" w:rsidRPr="001D4969" w:rsidRDefault="00041EE4" w:rsidP="00AC0F6F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041EE4" w:rsidRPr="001D4969" w:rsidRDefault="00AC0F6F" w:rsidP="00196C02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Un aperçu des demandes </w:t>
            </w:r>
            <w:r w:rsidR="005325EC">
              <w:rPr>
                <w:rFonts w:ascii="Arial" w:hAnsi="Arial" w:cs="Arial"/>
                <w:sz w:val="22"/>
                <w:szCs w:val="22"/>
                <w:lang w:val="fr-BE"/>
              </w:rPr>
              <w:t>d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’appui </w:t>
            </w:r>
            <w:r w:rsidR="00196C02">
              <w:rPr>
                <w:rFonts w:ascii="Arial" w:hAnsi="Arial" w:cs="Arial"/>
                <w:sz w:val="22"/>
                <w:szCs w:val="22"/>
                <w:lang w:val="fr-BE"/>
              </w:rPr>
              <w:t>pour</w:t>
            </w:r>
            <w:r w:rsidR="005325E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des événements sportifs pour les cinq dernières années </w:t>
            </w:r>
            <w:r w:rsidR="005325EC">
              <w:rPr>
                <w:rFonts w:ascii="Arial" w:hAnsi="Arial" w:cs="Arial"/>
                <w:sz w:val="22"/>
                <w:szCs w:val="22"/>
                <w:lang w:val="fr-BE"/>
              </w:rPr>
              <w:t>est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repris dans le tableau ci-dessous.</w:t>
            </w:r>
          </w:p>
        </w:tc>
      </w:tr>
      <w:tr w:rsidR="00041EE4" w:rsidRPr="001D4969" w:rsidTr="00F9661C">
        <w:tc>
          <w:tcPr>
            <w:tcW w:w="9570" w:type="dxa"/>
            <w:gridSpan w:val="2"/>
          </w:tcPr>
          <w:tbl>
            <w:tblPr>
              <w:tblW w:w="8780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960"/>
              <w:gridCol w:w="960"/>
              <w:gridCol w:w="960"/>
              <w:gridCol w:w="960"/>
              <w:gridCol w:w="960"/>
            </w:tblGrid>
            <w:tr w:rsidR="00AC0F6F" w:rsidRPr="001D4969" w:rsidTr="0031328D">
              <w:trPr>
                <w:trHeight w:val="300"/>
              </w:trPr>
              <w:tc>
                <w:tcPr>
                  <w:tcW w:w="39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BE"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</w:tr>
            <w:tr w:rsidR="00AC0F6F" w:rsidRPr="001D4969" w:rsidTr="0031328D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Aantal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aanvragen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Nombre</w:t>
                  </w:r>
                  <w:proofErr w:type="spellEnd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demandes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0F6F" w:rsidRPr="001D4969" w:rsidRDefault="00AC0F6F" w:rsidP="00AC0F6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</w:tr>
          </w:tbl>
          <w:p w:rsidR="00041EE4" w:rsidRPr="001D4969" w:rsidRDefault="00041EE4" w:rsidP="00012B9B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AC0F6F" w:rsidRPr="001D4969" w:rsidRDefault="00AC0F6F" w:rsidP="00AC0F6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AC0F6F" w:rsidP="00AC0F6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Vanuit Defensie is er geen sponsoring voorzien van sportclubs of individuele sporters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, andere dan de Topsporters waarvan </w:t>
            </w:r>
            <w:proofErr w:type="gramStart"/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>reeds</w:t>
            </w:r>
            <w:proofErr w:type="gramEnd"/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 sprake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. Net zoals organisatoren van sportevenementen, kunnen sportclubs </w:t>
            </w:r>
            <w:proofErr w:type="gramStart"/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ev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>enwel</w:t>
            </w:r>
            <w:proofErr w:type="gramEnd"/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 steun vragen aan Defensie op basis van de wetgeving “prestaties ten voordele van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derden”</w:t>
            </w:r>
            <w:r w:rsidR="00ED65C2" w:rsidRPr="001D4969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:rsidR="004B6460" w:rsidRPr="001D4969" w:rsidRDefault="004B6460" w:rsidP="004B646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AC0F6F" w:rsidRPr="001D4969" w:rsidRDefault="00AC0F6F" w:rsidP="00AC0F6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196C02" w:rsidP="00196C0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Aucun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sponsoring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n’est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prévu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tant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pour les clubs de sport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 pour d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athlètes </w:t>
            </w:r>
            <w:r w:rsidR="006B75C7">
              <w:rPr>
                <w:rFonts w:ascii="Arial" w:hAnsi="Arial" w:cs="Arial"/>
                <w:sz w:val="22"/>
                <w:szCs w:val="22"/>
                <w:lang w:val="fr-BE"/>
              </w:rPr>
              <w:t xml:space="preserve">individuels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autres que les </w:t>
            </w:r>
            <w:r w:rsidR="0067604E" w:rsidRPr="0067604E">
              <w:rPr>
                <w:rFonts w:ascii="Arial" w:hAnsi="Arial" w:cs="Arial"/>
                <w:sz w:val="22"/>
                <w:szCs w:val="22"/>
                <w:lang w:val="fr-BE"/>
              </w:rPr>
              <w:t>Sportifs de haut niveau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cités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ci-dessus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 l’instar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es organisateurs d’événements sportifs, les clubs de sport peuvent demander l’appui de la Défense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>sur base de la législation “prestations au profit de</w:t>
            </w:r>
            <w:r w:rsidR="00AC0F6F"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tiers”.</w:t>
            </w:r>
          </w:p>
        </w:tc>
      </w:tr>
      <w:tr w:rsidR="00041EE4" w:rsidRPr="006B40DE" w:rsidTr="002A0407">
        <w:tc>
          <w:tcPr>
            <w:tcW w:w="4785" w:type="dxa"/>
          </w:tcPr>
          <w:p w:rsidR="00041EE4" w:rsidRPr="001D4969" w:rsidRDefault="004B6460" w:rsidP="0067604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In onderstaande tabel vindt u een overzicht van het aantal sportclubs 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>dat de voorbije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vijf jaar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 xml:space="preserve"> een steun kon genieten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</w:tc>
        <w:tc>
          <w:tcPr>
            <w:tcW w:w="4785" w:type="dxa"/>
          </w:tcPr>
          <w:p w:rsidR="00041EE4" w:rsidRPr="001D4969" w:rsidRDefault="004B6460" w:rsidP="00012B9B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Dans le tableau ci-dessous vous</w:t>
            </w:r>
            <w:r w:rsidR="009D58E0">
              <w:rPr>
                <w:rFonts w:ascii="Arial" w:hAnsi="Arial" w:cs="Arial"/>
                <w:sz w:val="22"/>
                <w:szCs w:val="22"/>
                <w:lang w:val="fr-BE"/>
              </w:rPr>
              <w:t xml:space="preserve"> trouve</w:t>
            </w:r>
            <w:r w:rsidR="00196C02">
              <w:rPr>
                <w:rFonts w:ascii="Arial" w:hAnsi="Arial" w:cs="Arial"/>
                <w:sz w:val="22"/>
                <w:szCs w:val="22"/>
                <w:lang w:val="fr-BE"/>
              </w:rPr>
              <w:t>re</w:t>
            </w:r>
            <w:r w:rsidR="009D58E0">
              <w:rPr>
                <w:rFonts w:ascii="Arial" w:hAnsi="Arial" w:cs="Arial"/>
                <w:sz w:val="22"/>
                <w:szCs w:val="22"/>
                <w:lang w:val="fr-BE"/>
              </w:rPr>
              <w:t>z un aperçu du nombre de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clubs de sport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qui ont bénéficié d’un appui lors des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cinq dernières années.</w:t>
            </w:r>
          </w:p>
          <w:p w:rsidR="004B6460" w:rsidRPr="001D4969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1D4969" w:rsidTr="00DC0348">
        <w:tc>
          <w:tcPr>
            <w:tcW w:w="9570" w:type="dxa"/>
            <w:gridSpan w:val="2"/>
          </w:tcPr>
          <w:tbl>
            <w:tblPr>
              <w:tblW w:w="8780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4800"/>
            </w:tblGrid>
            <w:tr w:rsidR="004B6460" w:rsidRPr="006B40DE" w:rsidTr="002D4B11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6C02" w:rsidRDefault="004B6460" w:rsidP="004B6460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  <w:proofErr w:type="spellStart"/>
                  <w:r w:rsidR="002D4B1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Jaar</w:t>
                  </w:r>
                  <w:proofErr w:type="spellEnd"/>
                </w:p>
                <w:p w:rsidR="002D4B11" w:rsidRPr="001D4969" w:rsidRDefault="002D4B11" w:rsidP="00196C02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Année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6C02" w:rsidRPr="006B75C7" w:rsidRDefault="00196C02" w:rsidP="00196C02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proofErr w:type="spellStart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Aantal</w:t>
                  </w:r>
                  <w:proofErr w:type="spellEnd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 </w:t>
                  </w:r>
                  <w:proofErr w:type="spellStart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gesteunde</w:t>
                  </w:r>
                  <w:proofErr w:type="spellEnd"/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 clubs</w:t>
                  </w:r>
                </w:p>
                <w:p w:rsidR="004B6460" w:rsidRPr="006B75C7" w:rsidRDefault="004B6460" w:rsidP="00196C02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r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Nombre de clubs </w:t>
                  </w:r>
                  <w:r w:rsidR="00196C02" w:rsidRPr="006B75C7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soutenus</w:t>
                  </w:r>
                </w:p>
              </w:tc>
            </w:tr>
            <w:tr w:rsidR="004B6460" w:rsidRPr="001D4969" w:rsidTr="0031328D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</w:tr>
          </w:tbl>
          <w:p w:rsidR="00041EE4" w:rsidRPr="001D4969" w:rsidRDefault="00041EE4" w:rsidP="00012B9B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2A0407">
        <w:tc>
          <w:tcPr>
            <w:tcW w:w="4785" w:type="dxa"/>
          </w:tcPr>
          <w:p w:rsidR="004B6460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Pr="001D4969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4B6460" w:rsidP="00012B9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De voorwaarden om de steun van Defensie te genieten zijn dezelfde als die voor de sportevenementen, in paragraaf 3.b.</w:t>
            </w:r>
            <w:r w:rsidR="002D4B1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vermeld.</w:t>
            </w:r>
          </w:p>
          <w:p w:rsidR="004B6460" w:rsidRPr="001D4969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4B6460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6B75C7" w:rsidRPr="001D4969" w:rsidRDefault="006B75C7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4B6460" w:rsidP="00196C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Les conditions pour </w:t>
            </w:r>
            <w:r w:rsidR="00196C02">
              <w:rPr>
                <w:rFonts w:ascii="Arial" w:hAnsi="Arial" w:cs="Arial"/>
                <w:sz w:val="22"/>
                <w:szCs w:val="22"/>
                <w:lang w:val="fr-BE"/>
              </w:rPr>
              <w:t>bénéficier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l’appui de la Défense sont </w:t>
            </w:r>
            <w:r w:rsidR="00196C02">
              <w:rPr>
                <w:rFonts w:ascii="Arial" w:hAnsi="Arial" w:cs="Arial"/>
                <w:sz w:val="22"/>
                <w:szCs w:val="22"/>
                <w:lang w:val="fr-BE"/>
              </w:rPr>
              <w:t>identiques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que pour les événements sportifs, mentionnées au paragraphe 3.b.</w:t>
            </w:r>
          </w:p>
        </w:tc>
      </w:tr>
      <w:tr w:rsidR="00041EE4" w:rsidRPr="006B40DE" w:rsidTr="002A0407">
        <w:tc>
          <w:tcPr>
            <w:tcW w:w="4785" w:type="dxa"/>
          </w:tcPr>
          <w:p w:rsidR="00041EE4" w:rsidRPr="001D4969" w:rsidRDefault="004B6460" w:rsidP="0067604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 xml:space="preserve">De sportclubs kunnen een gelijkaardige steun vragen zoals de sportevenementen. In onderstaande tabel </w:t>
            </w:r>
            <w:r w:rsidR="0067604E">
              <w:rPr>
                <w:rFonts w:ascii="Arial" w:hAnsi="Arial" w:cs="Arial"/>
                <w:sz w:val="22"/>
                <w:szCs w:val="22"/>
                <w:lang w:val="nl-BE"/>
              </w:rPr>
              <w:t>wordt de waarde van de geleverde prestaties aan</w:t>
            </w: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 sportclubs, voor de laatste vijf jaar hernomen.</w:t>
            </w:r>
          </w:p>
        </w:tc>
        <w:tc>
          <w:tcPr>
            <w:tcW w:w="4785" w:type="dxa"/>
          </w:tcPr>
          <w:p w:rsidR="00041EE4" w:rsidRPr="001D4969" w:rsidRDefault="004B6460" w:rsidP="00012B9B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Les clubs de sport peuvent </w:t>
            </w:r>
            <w:r w:rsidR="007168CB">
              <w:rPr>
                <w:rFonts w:ascii="Arial" w:hAnsi="Arial" w:cs="Arial"/>
                <w:sz w:val="22"/>
                <w:szCs w:val="22"/>
                <w:lang w:val="fr-BE"/>
              </w:rPr>
              <w:t>solliciter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un appui </w:t>
            </w:r>
            <w:r w:rsidR="007168CB">
              <w:rPr>
                <w:rFonts w:ascii="Arial" w:hAnsi="Arial" w:cs="Arial"/>
                <w:sz w:val="22"/>
                <w:szCs w:val="22"/>
                <w:lang w:val="fr-BE"/>
              </w:rPr>
              <w:t>similaire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à celui </w:t>
            </w:r>
            <w:r w:rsidR="007168CB">
              <w:rPr>
                <w:rFonts w:ascii="Arial" w:hAnsi="Arial" w:cs="Arial"/>
                <w:sz w:val="22"/>
                <w:szCs w:val="22"/>
                <w:lang w:val="fr-BE"/>
              </w:rPr>
              <w:t xml:space="preserve">fourni pour 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des événements sportifs.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 Dans le tableau ci-dessous est reprise la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67604E">
              <w:rPr>
                <w:rFonts w:ascii="Arial" w:hAnsi="Arial" w:cs="Arial"/>
                <w:sz w:val="22"/>
                <w:szCs w:val="22"/>
                <w:lang w:val="fr-BE"/>
              </w:rPr>
              <w:t xml:space="preserve">valeur des </w:t>
            </w:r>
            <w:r w:rsidR="007168CB">
              <w:rPr>
                <w:rFonts w:ascii="Arial" w:hAnsi="Arial" w:cs="Arial"/>
                <w:sz w:val="22"/>
                <w:szCs w:val="22"/>
                <w:lang w:val="fr-BE"/>
              </w:rPr>
              <w:t>prestations</w:t>
            </w: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 xml:space="preserve"> effectuées ces cinq dernières années pour les clubs de sport.</w:t>
            </w:r>
          </w:p>
          <w:p w:rsidR="00ED65C2" w:rsidRPr="001D4969" w:rsidRDefault="00ED65C2" w:rsidP="00ED65C2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4B6460" w:rsidRPr="001D4969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1D4969" w:rsidTr="005D4A4C">
        <w:tc>
          <w:tcPr>
            <w:tcW w:w="9570" w:type="dxa"/>
            <w:gridSpan w:val="2"/>
          </w:tcPr>
          <w:tbl>
            <w:tblPr>
              <w:tblW w:w="8780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4800"/>
            </w:tblGrid>
            <w:tr w:rsidR="004B6460" w:rsidRPr="001D4969" w:rsidTr="002D4B11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2D4B1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  <w:r w:rsidR="002D4B11"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  <w:proofErr w:type="spellStart"/>
                  <w:r w:rsidR="002D4B1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Jaar</w:t>
                  </w:r>
                  <w:proofErr w:type="spellEnd"/>
                  <w:r w:rsidR="002D4B1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 / Année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67604E" w:rsidP="007168CB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Waarde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Valeur</w:t>
                  </w:r>
                  <w:proofErr w:type="spellEnd"/>
                  <w:r w:rsidR="004B6460"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(</w:t>
                  </w:r>
                  <w:r w:rsidR="007168CB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euro - euros</w:t>
                  </w:r>
                  <w:r w:rsidR="004B6460"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B6460" w:rsidRPr="001D4969" w:rsidTr="0031328D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8.044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40.407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7.321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7.998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7168CB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7168CB" w:rsidRDefault="006B75C7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B75C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</w:tbl>
          <w:p w:rsidR="00041EE4" w:rsidRPr="001D4969" w:rsidRDefault="00041EE4" w:rsidP="0067638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2A0407">
        <w:tc>
          <w:tcPr>
            <w:tcW w:w="4785" w:type="dxa"/>
          </w:tcPr>
          <w:p w:rsidR="00ED65C2" w:rsidRPr="001D4969" w:rsidRDefault="00ED65C2" w:rsidP="00ED65C2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4B6460" w:rsidP="00012B9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nl-BE"/>
              </w:rPr>
              <w:t>Een overzicht van de aanvragen voor steun van de sportclubs wordt, voor de laatste vijf jaar, weergegeven in onderstaande tabel.</w:t>
            </w:r>
          </w:p>
          <w:p w:rsidR="004B6460" w:rsidRPr="001D4969" w:rsidRDefault="004B6460" w:rsidP="004B646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ED65C2" w:rsidRPr="00B75A71" w:rsidRDefault="00ED65C2" w:rsidP="00ED65C2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041EE4" w:rsidRPr="001D4969" w:rsidRDefault="004B6460" w:rsidP="00012B9B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4969">
              <w:rPr>
                <w:rFonts w:ascii="Arial" w:hAnsi="Arial" w:cs="Arial"/>
                <w:sz w:val="22"/>
                <w:szCs w:val="22"/>
                <w:lang w:val="fr-BE"/>
              </w:rPr>
              <w:t>Un aperçu des demandes d’appui pour les clubs de sport, pour les cinq dernières années, est repris dans le tableau ci-dessous.</w:t>
            </w:r>
          </w:p>
        </w:tc>
      </w:tr>
      <w:tr w:rsidR="00041EE4" w:rsidRPr="001D4969" w:rsidTr="00FD5084">
        <w:tc>
          <w:tcPr>
            <w:tcW w:w="9570" w:type="dxa"/>
            <w:gridSpan w:val="2"/>
          </w:tcPr>
          <w:tbl>
            <w:tblPr>
              <w:tblW w:w="8780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  <w:gridCol w:w="4800"/>
            </w:tblGrid>
            <w:tr w:rsidR="004B6460" w:rsidRPr="006B40DE" w:rsidTr="002D4B11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2D4B1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  <w:r w:rsidR="002D4B11"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 </w:t>
                  </w:r>
                  <w:proofErr w:type="spellStart"/>
                  <w:r w:rsidR="002D4B1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Jaar</w:t>
                  </w:r>
                  <w:proofErr w:type="spellEnd"/>
                  <w:r w:rsidR="002D4B1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 / Année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</w:pPr>
                  <w:proofErr w:type="spellStart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>Aantal</w:t>
                  </w:r>
                  <w:proofErr w:type="spellEnd"/>
                  <w:r w:rsidRPr="001D4969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val="fr-BE" w:eastAsia="en-US"/>
                    </w:rPr>
                    <w:t xml:space="preserve"> clubs / Nombre de clubs</w:t>
                  </w:r>
                </w:p>
              </w:tc>
            </w:tr>
            <w:tr w:rsidR="004B6460" w:rsidRPr="001D4969" w:rsidTr="0031328D">
              <w:trPr>
                <w:trHeight w:val="3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2012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2013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4B6460" w:rsidRPr="001D4969" w:rsidTr="004B6460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460" w:rsidRPr="001D4969" w:rsidRDefault="004B6460" w:rsidP="004B646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D496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</w:tbl>
          <w:p w:rsidR="00041EE4" w:rsidRPr="001D4969" w:rsidRDefault="00041EE4" w:rsidP="0067638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41EE4" w:rsidRPr="006B40DE" w:rsidTr="00CB3CC5">
        <w:tc>
          <w:tcPr>
            <w:tcW w:w="4785" w:type="dxa"/>
          </w:tcPr>
          <w:p w:rsidR="004B6460" w:rsidRPr="001D4969" w:rsidRDefault="004B6460" w:rsidP="004B6460">
            <w:pPr>
              <w:ind w:left="360" w:right="31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4B6460" w:rsidRPr="001D4969" w:rsidRDefault="0067604E" w:rsidP="004B6460">
            <w:pPr>
              <w:numPr>
                <w:ilvl w:val="0"/>
                <w:numId w:val="17"/>
              </w:numPr>
              <w:ind w:right="31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nl-BE"/>
              </w:rPr>
              <w:t>Vermi</w:t>
            </w:r>
            <w:r w:rsidR="00836238">
              <w:rPr>
                <w:rFonts w:ascii="Arial" w:hAnsi="Arial" w:cs="Arial"/>
                <w:sz w:val="22"/>
                <w:szCs w:val="22"/>
                <w:lang w:val="nl-BE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s</w:t>
            </w:r>
            <w:proofErr w:type="gramEnd"/>
            <w:r w:rsidR="00836238">
              <w:rPr>
                <w:rFonts w:ascii="Arial" w:hAnsi="Arial" w:cs="Arial"/>
                <w:sz w:val="22"/>
                <w:szCs w:val="22"/>
                <w:lang w:val="nl-BE"/>
              </w:rPr>
              <w:t xml:space="preserve"> d</w:t>
            </w:r>
            <w:r w:rsidR="004B6460" w:rsidRPr="001D4969">
              <w:rPr>
                <w:rFonts w:ascii="Arial" w:hAnsi="Arial" w:cs="Arial"/>
                <w:sz w:val="22"/>
                <w:szCs w:val="22"/>
                <w:lang w:val="nl-BE"/>
              </w:rPr>
              <w:t>e gegevens worden geregistreerd per locatie van de geleverde prestatie en niet volgens het betrokken militair domein</w:t>
            </w:r>
            <w:r w:rsidR="00836238">
              <w:rPr>
                <w:rFonts w:ascii="Arial" w:hAnsi="Arial" w:cs="Arial"/>
                <w:sz w:val="22"/>
                <w:szCs w:val="22"/>
                <w:lang w:val="nl-BE"/>
              </w:rPr>
              <w:t>, kan dit overzicht niet weergegeven worden</w:t>
            </w:r>
            <w:r w:rsidR="004B6460" w:rsidRPr="001D4969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</w:p>
          <w:p w:rsidR="00041EE4" w:rsidRPr="001D4969" w:rsidRDefault="00041EE4" w:rsidP="004B646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785" w:type="dxa"/>
          </w:tcPr>
          <w:p w:rsidR="004B6460" w:rsidRPr="001D4969" w:rsidRDefault="004B6460" w:rsidP="004B6460">
            <w:pPr>
              <w:pStyle w:val="ListParagraph"/>
              <w:ind w:left="360" w:right="459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4B6460" w:rsidRPr="001D4969" w:rsidRDefault="00836238" w:rsidP="004B6460">
            <w:pPr>
              <w:pStyle w:val="ListParagraph"/>
              <w:numPr>
                <w:ilvl w:val="0"/>
                <w:numId w:val="19"/>
              </w:numPr>
              <w:ind w:right="459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Puisque</w:t>
            </w:r>
            <w:r w:rsidR="009D58E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836238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="004B6460" w:rsidRPr="001D4969">
              <w:rPr>
                <w:rFonts w:ascii="Arial" w:hAnsi="Arial" w:cs="Arial"/>
                <w:sz w:val="22"/>
                <w:szCs w:val="22"/>
                <w:lang w:val="fr-BE"/>
              </w:rPr>
              <w:t>es</w:t>
            </w:r>
            <w:r w:rsidR="009D58E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B6460" w:rsidRPr="001D4969">
              <w:rPr>
                <w:rFonts w:ascii="Arial" w:hAnsi="Arial" w:cs="Arial"/>
                <w:sz w:val="22"/>
                <w:szCs w:val="22"/>
                <w:lang w:val="fr-BE"/>
              </w:rPr>
              <w:t>données sont enregistrées par localisation de la prestation fournie et non selon le domaine militaire concerné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, cet aperçu ne peut pas être présenté</w:t>
            </w:r>
            <w:r w:rsidR="004B6460" w:rsidRPr="001D496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041EE4" w:rsidRPr="001D4969" w:rsidRDefault="00041EE4" w:rsidP="004B646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992A2C" w:rsidRPr="001D4969" w:rsidRDefault="00992A2C" w:rsidP="00AE7FD8">
      <w:pPr>
        <w:rPr>
          <w:rFonts w:ascii="Arial" w:hAnsi="Arial" w:cs="Arial"/>
          <w:sz w:val="22"/>
          <w:szCs w:val="22"/>
          <w:lang w:val="fr-BE"/>
        </w:rPr>
      </w:pPr>
    </w:p>
    <w:p w:rsidR="007F30EF" w:rsidRPr="001D4969" w:rsidRDefault="007F30EF" w:rsidP="006B40DE">
      <w:pPr>
        <w:spacing w:before="1080"/>
        <w:jc w:val="center"/>
        <w:rPr>
          <w:rFonts w:ascii="Arial" w:hAnsi="Arial" w:cs="Arial"/>
          <w:sz w:val="22"/>
          <w:szCs w:val="22"/>
          <w:lang w:val="fr-FR"/>
        </w:rPr>
      </w:pPr>
      <w:r w:rsidRPr="001D4969">
        <w:rPr>
          <w:rFonts w:ascii="Arial" w:hAnsi="Arial" w:cs="Arial"/>
          <w:sz w:val="22"/>
          <w:szCs w:val="22"/>
          <w:lang w:val="fr-FR"/>
        </w:rPr>
        <w:t>Steven VANDEPUT</w:t>
      </w:r>
      <w:bookmarkStart w:id="0" w:name="_GoBack"/>
      <w:bookmarkEnd w:id="0"/>
    </w:p>
    <w:sectPr w:rsidR="007F30EF" w:rsidRPr="001D4969" w:rsidSect="001D4969">
      <w:footerReference w:type="default" r:id="rId9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F1" w:rsidRDefault="005E0DF1">
      <w:r>
        <w:separator/>
      </w:r>
    </w:p>
  </w:endnote>
  <w:endnote w:type="continuationSeparator" w:id="0">
    <w:p w:rsidR="005E0DF1" w:rsidRDefault="005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D2" w:rsidRDefault="00FB58D2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F1" w:rsidRDefault="005E0DF1">
      <w:r>
        <w:separator/>
      </w:r>
    </w:p>
  </w:footnote>
  <w:footnote w:type="continuationSeparator" w:id="0">
    <w:p w:rsidR="005E0DF1" w:rsidRDefault="005E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C51"/>
    <w:multiLevelType w:val="singleLevel"/>
    <w:tmpl w:val="90EAEE40"/>
    <w:lvl w:ilvl="0">
      <w:start w:val="1008"/>
      <w:numFmt w:val="decimal"/>
      <w:lvlText w:val="%1"/>
      <w:lvlJc w:val="left"/>
      <w:pPr>
        <w:tabs>
          <w:tab w:val="num" w:pos="6047"/>
        </w:tabs>
        <w:ind w:left="6047" w:hanging="660"/>
      </w:pPr>
      <w:rPr>
        <w:rFonts w:hint="default"/>
      </w:rPr>
    </w:lvl>
  </w:abstractNum>
  <w:abstractNum w:abstractNumId="1">
    <w:nsid w:val="09F073A9"/>
    <w:multiLevelType w:val="hybridMultilevel"/>
    <w:tmpl w:val="B802D0AA"/>
    <w:lvl w:ilvl="0" w:tplc="762CF8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7FA4"/>
    <w:multiLevelType w:val="hybridMultilevel"/>
    <w:tmpl w:val="28A47E40"/>
    <w:lvl w:ilvl="0" w:tplc="9146C3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1748"/>
    <w:multiLevelType w:val="hybridMultilevel"/>
    <w:tmpl w:val="93B64EAA"/>
    <w:lvl w:ilvl="0" w:tplc="7F00BD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1F8"/>
    <w:multiLevelType w:val="hybridMultilevel"/>
    <w:tmpl w:val="DB84D67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A6FBF"/>
    <w:multiLevelType w:val="hybridMultilevel"/>
    <w:tmpl w:val="A9768754"/>
    <w:lvl w:ilvl="0" w:tplc="492EF4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27AE4"/>
    <w:multiLevelType w:val="hybridMultilevel"/>
    <w:tmpl w:val="936405F8"/>
    <w:lvl w:ilvl="0" w:tplc="D988EC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0BCB"/>
    <w:multiLevelType w:val="hybridMultilevel"/>
    <w:tmpl w:val="3C063490"/>
    <w:lvl w:ilvl="0" w:tplc="4A4839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75FD6"/>
    <w:multiLevelType w:val="hybridMultilevel"/>
    <w:tmpl w:val="B7F605B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948EA"/>
    <w:multiLevelType w:val="hybridMultilevel"/>
    <w:tmpl w:val="8A6279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15F80"/>
    <w:multiLevelType w:val="hybridMultilevel"/>
    <w:tmpl w:val="78EC861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8411E"/>
    <w:multiLevelType w:val="singleLevel"/>
    <w:tmpl w:val="C7C6B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710B27"/>
    <w:multiLevelType w:val="hybridMultilevel"/>
    <w:tmpl w:val="F5C07C50"/>
    <w:lvl w:ilvl="0" w:tplc="32A42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97DFD"/>
    <w:multiLevelType w:val="hybridMultilevel"/>
    <w:tmpl w:val="832A58B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409E5"/>
    <w:multiLevelType w:val="hybridMultilevel"/>
    <w:tmpl w:val="B7F605B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143E7"/>
    <w:multiLevelType w:val="hybridMultilevel"/>
    <w:tmpl w:val="660AE956"/>
    <w:lvl w:ilvl="0" w:tplc="88780DE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809"/>
    <w:multiLevelType w:val="hybridMultilevel"/>
    <w:tmpl w:val="858603DC"/>
    <w:lvl w:ilvl="0" w:tplc="50BA4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4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941B3F"/>
    <w:multiLevelType w:val="hybridMultilevel"/>
    <w:tmpl w:val="CEBCB506"/>
    <w:lvl w:ilvl="0" w:tplc="D66EC1A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962B4"/>
    <w:multiLevelType w:val="hybridMultilevel"/>
    <w:tmpl w:val="BBB0FB52"/>
    <w:lvl w:ilvl="0" w:tplc="E9CE2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41906"/>
    <w:multiLevelType w:val="hybridMultilevel"/>
    <w:tmpl w:val="2BB40FCA"/>
    <w:lvl w:ilvl="0" w:tplc="2F2867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nl-B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13993"/>
    <w:multiLevelType w:val="hybridMultilevel"/>
    <w:tmpl w:val="F9CEF482"/>
    <w:lvl w:ilvl="0" w:tplc="90440F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F4E10"/>
    <w:multiLevelType w:val="hybridMultilevel"/>
    <w:tmpl w:val="06C895D2"/>
    <w:lvl w:ilvl="0" w:tplc="74B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E3E6C"/>
    <w:multiLevelType w:val="hybridMultilevel"/>
    <w:tmpl w:val="EB908E8C"/>
    <w:lvl w:ilvl="0" w:tplc="95881D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0769"/>
    <w:multiLevelType w:val="hybridMultilevel"/>
    <w:tmpl w:val="080624A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542"/>
    <w:multiLevelType w:val="hybridMultilevel"/>
    <w:tmpl w:val="57F271B8"/>
    <w:lvl w:ilvl="0" w:tplc="D0C003C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12810"/>
    <w:multiLevelType w:val="hybridMultilevel"/>
    <w:tmpl w:val="5598FA80"/>
    <w:lvl w:ilvl="0" w:tplc="DB142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43A52"/>
    <w:multiLevelType w:val="hybridMultilevel"/>
    <w:tmpl w:val="29807FA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3A7F17"/>
    <w:multiLevelType w:val="hybridMultilevel"/>
    <w:tmpl w:val="9D52D7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24"/>
  </w:num>
  <w:num w:numId="9">
    <w:abstractNumId w:val="20"/>
  </w:num>
  <w:num w:numId="10">
    <w:abstractNumId w:val="10"/>
  </w:num>
  <w:num w:numId="11">
    <w:abstractNumId w:val="25"/>
  </w:num>
  <w:num w:numId="12">
    <w:abstractNumId w:val="28"/>
  </w:num>
  <w:num w:numId="13">
    <w:abstractNumId w:val="22"/>
  </w:num>
  <w:num w:numId="14">
    <w:abstractNumId w:val="27"/>
  </w:num>
  <w:num w:numId="15">
    <w:abstractNumId w:val="7"/>
  </w:num>
  <w:num w:numId="16">
    <w:abstractNumId w:val="21"/>
  </w:num>
  <w:num w:numId="17">
    <w:abstractNumId w:val="3"/>
  </w:num>
  <w:num w:numId="18">
    <w:abstractNumId w:val="26"/>
  </w:num>
  <w:num w:numId="19">
    <w:abstractNumId w:val="18"/>
  </w:num>
  <w:num w:numId="20">
    <w:abstractNumId w:val="6"/>
  </w:num>
  <w:num w:numId="21">
    <w:abstractNumId w:val="12"/>
  </w:num>
  <w:num w:numId="22">
    <w:abstractNumId w:val="5"/>
  </w:num>
  <w:num w:numId="23">
    <w:abstractNumId w:val="19"/>
  </w:num>
  <w:num w:numId="24">
    <w:abstractNumId w:val="16"/>
  </w:num>
  <w:num w:numId="25">
    <w:abstractNumId w:val="23"/>
  </w:num>
  <w:num w:numId="26">
    <w:abstractNumId w:val="2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63"/>
    <w:rsid w:val="00012B9B"/>
    <w:rsid w:val="00015EDD"/>
    <w:rsid w:val="000312FF"/>
    <w:rsid w:val="00041EE4"/>
    <w:rsid w:val="000C173E"/>
    <w:rsid w:val="00106EED"/>
    <w:rsid w:val="001303C7"/>
    <w:rsid w:val="00196C02"/>
    <w:rsid w:val="001D4969"/>
    <w:rsid w:val="002215BA"/>
    <w:rsid w:val="002612C3"/>
    <w:rsid w:val="002D025F"/>
    <w:rsid w:val="002D4B11"/>
    <w:rsid w:val="002F0B23"/>
    <w:rsid w:val="0031328D"/>
    <w:rsid w:val="00324B32"/>
    <w:rsid w:val="003317D1"/>
    <w:rsid w:val="00343071"/>
    <w:rsid w:val="00360D28"/>
    <w:rsid w:val="003B5F69"/>
    <w:rsid w:val="00407BD5"/>
    <w:rsid w:val="004427F0"/>
    <w:rsid w:val="004A424B"/>
    <w:rsid w:val="004B6460"/>
    <w:rsid w:val="005325EC"/>
    <w:rsid w:val="0054411C"/>
    <w:rsid w:val="0054688E"/>
    <w:rsid w:val="005873B4"/>
    <w:rsid w:val="005B0387"/>
    <w:rsid w:val="005E0DF1"/>
    <w:rsid w:val="005F4382"/>
    <w:rsid w:val="00630538"/>
    <w:rsid w:val="0067604E"/>
    <w:rsid w:val="0067638C"/>
    <w:rsid w:val="00685DE9"/>
    <w:rsid w:val="006B40DE"/>
    <w:rsid w:val="006B75C7"/>
    <w:rsid w:val="006C4F7E"/>
    <w:rsid w:val="007168CB"/>
    <w:rsid w:val="007308FB"/>
    <w:rsid w:val="0073454A"/>
    <w:rsid w:val="00777369"/>
    <w:rsid w:val="007A53C3"/>
    <w:rsid w:val="007B7E5C"/>
    <w:rsid w:val="007E635A"/>
    <w:rsid w:val="007F30EF"/>
    <w:rsid w:val="007F3AE1"/>
    <w:rsid w:val="00836238"/>
    <w:rsid w:val="0085441F"/>
    <w:rsid w:val="00876602"/>
    <w:rsid w:val="00911683"/>
    <w:rsid w:val="00915189"/>
    <w:rsid w:val="00960B94"/>
    <w:rsid w:val="00992A2C"/>
    <w:rsid w:val="009A3D7C"/>
    <w:rsid w:val="009D58E0"/>
    <w:rsid w:val="009F30B3"/>
    <w:rsid w:val="00A20056"/>
    <w:rsid w:val="00A36D8F"/>
    <w:rsid w:val="00AA05C3"/>
    <w:rsid w:val="00AC0F6F"/>
    <w:rsid w:val="00AD160E"/>
    <w:rsid w:val="00AE7FD8"/>
    <w:rsid w:val="00B61BE4"/>
    <w:rsid w:val="00B73009"/>
    <w:rsid w:val="00B75A71"/>
    <w:rsid w:val="00B8473B"/>
    <w:rsid w:val="00BA392E"/>
    <w:rsid w:val="00BA6428"/>
    <w:rsid w:val="00BD044A"/>
    <w:rsid w:val="00BE190A"/>
    <w:rsid w:val="00BF1659"/>
    <w:rsid w:val="00C03CF5"/>
    <w:rsid w:val="00C161B7"/>
    <w:rsid w:val="00C3040D"/>
    <w:rsid w:val="00C452D6"/>
    <w:rsid w:val="00C550B1"/>
    <w:rsid w:val="00C5611E"/>
    <w:rsid w:val="00CA78CE"/>
    <w:rsid w:val="00CB3CC5"/>
    <w:rsid w:val="00CB78EE"/>
    <w:rsid w:val="00CC418C"/>
    <w:rsid w:val="00CC4D75"/>
    <w:rsid w:val="00D27AFF"/>
    <w:rsid w:val="00D729D3"/>
    <w:rsid w:val="00D9153D"/>
    <w:rsid w:val="00DB2D1A"/>
    <w:rsid w:val="00E11A47"/>
    <w:rsid w:val="00E45E22"/>
    <w:rsid w:val="00EA34DF"/>
    <w:rsid w:val="00ED65C2"/>
    <w:rsid w:val="00EE5D43"/>
    <w:rsid w:val="00F34363"/>
    <w:rsid w:val="00F41C1C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fr-BE"/>
    </w:rPr>
  </w:style>
  <w:style w:type="paragraph" w:styleId="BodyTextIndent">
    <w:name w:val="Body Text Indent"/>
    <w:basedOn w:val="Normal"/>
    <w:pPr>
      <w:spacing w:before="960"/>
      <w:ind w:firstLine="2835"/>
      <w:jc w:val="both"/>
    </w:pPr>
    <w:rPr>
      <w:sz w:val="24"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64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0D"/>
    <w:rPr>
      <w:rFonts w:ascii="Tahoma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fr-BE"/>
    </w:rPr>
  </w:style>
  <w:style w:type="paragraph" w:styleId="BodyTextIndent">
    <w:name w:val="Body Text Indent"/>
    <w:basedOn w:val="Normal"/>
    <w:pPr>
      <w:spacing w:before="960"/>
      <w:ind w:firstLine="2835"/>
      <w:jc w:val="both"/>
    </w:pPr>
    <w:rPr>
      <w:sz w:val="24"/>
      <w:lang w:val="fr-B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64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40D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36FD-C4FE-485B-A29F-5311B00A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Antwoord S PV - Réponse QP E</vt:lpstr>
    </vt:vector>
  </TitlesOfParts>
  <Company>BAF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S PV - Réponse QP E</dc:title>
  <dc:subject>Antwoord S PV - Réponse QP E</dc:subject>
  <dc:creator>Colman Patrick</dc:creator>
  <cp:keywords>PV parlementaire vraag interpellatie</cp:keywords>
  <cp:lastModifiedBy>Valles Isaline</cp:lastModifiedBy>
  <cp:revision>2</cp:revision>
  <cp:lastPrinted>2016-05-19T08:22:00Z</cp:lastPrinted>
  <dcterms:created xsi:type="dcterms:W3CDTF">2016-05-23T08:42:00Z</dcterms:created>
  <dcterms:modified xsi:type="dcterms:W3CDTF">2016-05-23T08:42:00Z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 WXYZ">
    <vt:lpwstr/>
  </property>
  <property fmtid="{D5CDD505-2E9C-101B-9397-08002B2CF9AE}" pid="3" name="Datum goedkeuring">
    <vt:filetime>2009-02-17T12:00:00Z</vt:filetime>
  </property>
  <property fmtid="{D5CDD505-2E9C-101B-9397-08002B2CF9AE}" pid="4" name="Editie">
    <vt:i4>1</vt:i4>
  </property>
  <property fmtid="{D5CDD505-2E9C-101B-9397-08002B2CF9AE}" pid="5" name="Itel">
    <vt:lpwstr>QPVTMPL</vt:lpwstr>
  </property>
  <property fmtid="{D5CDD505-2E9C-101B-9397-08002B2CF9AE}" pid="6" name="Nummering">
    <vt:i4>1</vt:i4>
  </property>
  <property fmtid="{D5CDD505-2E9C-101B-9397-08002B2CF9AE}" pid="7" name="Redactionele overheid">
    <vt:lpwstr>JMBEMED</vt:lpwstr>
  </property>
  <property fmtid="{D5CDD505-2E9C-101B-9397-08002B2CF9AE}" pid="8" name="Revisie">
    <vt:i4>2</vt:i4>
  </property>
</Properties>
</file>